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BDE" w:rsidRPr="00415448" w:rsidRDefault="00111BDE" w:rsidP="00111BDE">
      <w:pPr>
        <w:adjustRightInd w:val="0"/>
        <w:snapToGrid w:val="0"/>
        <w:spacing w:line="360" w:lineRule="auto"/>
        <w:jc w:val="left"/>
        <w:rPr>
          <w:rFonts w:ascii="宋体" w:hAnsi="宋体"/>
          <w:b/>
          <w:bCs/>
          <w:sz w:val="24"/>
        </w:rPr>
      </w:pPr>
      <w:bookmarkStart w:id="0" w:name="_GoBack"/>
      <w:r w:rsidRPr="00415448">
        <w:rPr>
          <w:rFonts w:ascii="宋体" w:hAnsi="宋体" w:cs="仿宋"/>
          <w:sz w:val="24"/>
        </w:rPr>
        <w:t>附：</w:t>
      </w:r>
      <w:r w:rsidRPr="00415448">
        <w:rPr>
          <w:rFonts w:ascii="宋体" w:hAnsi="宋体"/>
          <w:b/>
          <w:bCs/>
          <w:sz w:val="24"/>
        </w:rPr>
        <w:t>马克思主义学院研究生获得成果基本要求</w:t>
      </w:r>
    </w:p>
    <w:bookmarkEnd w:id="0"/>
    <w:p w:rsidR="00111BDE" w:rsidRPr="00415448" w:rsidRDefault="00111BDE" w:rsidP="00111BDE">
      <w:pPr>
        <w:adjustRightInd w:val="0"/>
        <w:snapToGrid w:val="0"/>
        <w:spacing w:line="360" w:lineRule="auto"/>
        <w:rPr>
          <w:rFonts w:ascii="宋体" w:hAnsi="宋体"/>
          <w:sz w:val="24"/>
        </w:rPr>
      </w:pP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1.适用范围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 w:cs="仿宋"/>
          <w:color w:val="000000"/>
          <w:kern w:val="0"/>
          <w:sz w:val="24"/>
          <w:lang w:bidi="ar"/>
        </w:rPr>
      </w:pPr>
      <w:r w:rsidRPr="00415448">
        <w:rPr>
          <w:rFonts w:ascii="宋体" w:hAnsi="宋体" w:cs="仿宋"/>
          <w:color w:val="000000"/>
          <w:kern w:val="0"/>
          <w:sz w:val="24"/>
          <w:lang w:bidi="ar"/>
        </w:rPr>
        <w:t>适用于马克思主义学院研究生申请学位认定。适用学科包括：马克思主义理论一级学科、纺织产业与科学社会主义自设交叉学科。成果应为学位申请人攻读所申请学位类型研究生期间所获得。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2.署名要求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2.1 单位署名要求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原则上仅认定以东华大学为第一单位获得的成果。国家级科技奖、 省部级科技一等奖须东华大学参与，不做单位排名要求，其他省部级科技奖、国家级及以上标准制定可放宽至东华大学为第二单位。 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2.2 个人署名要求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（1）学术论文署名基本要求：研究生为第一作者且导师为通讯作者（如没有通讯作者，需学生署名第一，导师署名第二）；或研究生为第二作者，导师为第一作者。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（2）学科竞赛（团队指导教师须为学校专任教师）或相关奖项认定区分获奖人排名次序与获奖级别，具体见附件一：《东华大学马克思主义学院研究生获得成果分类及积分细则》。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（3）学术著作（含译著）和教材（含翻译出版教材）署名要求，具体见附件一：《东华大学马克思主义学院研究生获得成果分类及积分细则》。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（4）其他成果署名要求，研究生为第一完成人（发明人）且导师为共同完成人（发明人），或导师为第一完成人（发明人）且研究生为第二完成人（发明人）。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2.3特殊情况署名要求。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在国内外进行联合培养（需有双方学校签署的联合培养协议或与留学基金委签署的协议）的研究生，获得的成果学生署名第二且联合培养单位导师（以协议约定的为准）署名第一的，或学生署名第一且联合培养单位导师为通讯联系人的，经学院认定后可列入研究生在学期间获得成果的统计范围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（2）由校内导师组（团队）联合指导的研究生获得的成果，经学院认定后可列入研究生在学期间获得成果的统计范围。导师组（团队）须在开题时明确。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lastRenderedPageBreak/>
        <w:t>3.申请学位检查要求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sz w:val="24"/>
        </w:rPr>
      </w:pPr>
      <w:r w:rsidRPr="00415448">
        <w:rPr>
          <w:rFonts w:ascii="宋体" w:hAnsi="宋体"/>
          <w:b/>
          <w:bCs/>
          <w:sz w:val="24"/>
        </w:rPr>
        <w:t>（1）硕士研究生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硕士研究生在申请学位之前，必须获得总积分2分及以上与学位论文相关的成果，成果认定范围与积分见《东华大学马克思主义学院研究生获得成果分类及积分细则》。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（2）博士研究生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博士研究生在申请学位之前，必须获得总积分15分及以上的与学位论文相关的成果，成果认定范围与积分见《东华大学马克思主义学院研究生获得成果分类及积分细则》，其中至少一项为《东华大学哲学社会科学成果认定办法》（东华科〔2019〕8号）的T-C类学术论文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4.成果检查方式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检查时间分学位论文答辩申请和学位申请两个阶段。未达要求者，研究生所在学院不得受理其学位论文答辩申请或学位申请。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（1）申请硕士、博士学位论文答辩前，研究生需提供满足申请学位检查要求的成果。如成果已录用但尚未正式见刊（报）、或尚未正式出版，可在提供录用证明的情况下申请论文答辩。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（2）申请硕士、博士学位前，研究生需提供成果已正式见刊（报）、正式出版或正式通过验收等证明。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5.成果认定范围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5.1本规定中所有获得的成果均须与所学的学位论文相关，且为在学期间获得，具体界定如下。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（1）学术著作：学术专著（含译著）须公开出版。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（2）学术论文：学术论文的范围以《东华大学科技论文认定办法》和《东华大学哲学社会科学成果认定办法》中规定为准。硕士研究生的学术论文须发表或录用；博士研究生的学术论文须发表（Online 视同发表）。综述性论文须发表在C类及以上级别期刊。发表在学术期刊上的论文字数不少于3000字，发表在报纸上的学术论文字数不少于1000字。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（3）科研项目：已结项且专家验收结果为“通过”的B类及以上纵向项目。其中纵向项目分别以《东华大学科技纵向项目与科技奖认定暂行办法》和《东华大学哲学社会科学成果认定办法》规定为准。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lastRenderedPageBreak/>
        <w:t>（4）科研获奖：已获得获奖证书的国家级科技奖与省部级科技奖，具体类型和范围以《东华大学科技纵向项目与科技奖认定暂行办法》规定为准。其中人文社科类的“教育部高等学校科学研究优秀成果奖（人文社会科学）”等同于国家级科技奖，“省级哲学社会科学优秀成果奖和学院认定的重要国际奖、学会协会奖与社会奖”等同于省部级科技奖。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（5）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学科竞赛获奖：参加中国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互联网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+”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大学生创新创业大赛、 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挑战杯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全国大学生课外学术科技作品竞赛、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挑战杯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全国大学生创业计划大赛（原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“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创青春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”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）、中国研究生创新实践系列大赛获得上海市铜奖（三等奖）及以上级别奖项（金、银、铜奖分别对应一、二、三等奖，若设特等奖至三等奖，则金奖对应特等奖与一等奖、依次类推，下同）。须提交相关赛事官网公告证明或获奖证书。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（6）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权威媒体作品：权威媒体作品包括 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 xml:space="preserve">3000 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>字及以上文章或</w:t>
      </w:r>
      <w:r w:rsidRPr="00415448">
        <w:rPr>
          <w:rFonts w:ascii="宋体" w:hAnsi="宋体"/>
          <w:color w:val="000000"/>
          <w:kern w:val="0"/>
          <w:sz w:val="24"/>
          <w:lang w:bidi="ar"/>
        </w:rPr>
        <w:t>5</w:t>
      </w:r>
      <w:r w:rsidRPr="00415448">
        <w:rPr>
          <w:rFonts w:ascii="宋体" w:hAnsi="宋体" w:cs="仿宋"/>
          <w:color w:val="000000"/>
          <w:kern w:val="0"/>
          <w:sz w:val="24"/>
          <w:lang w:bidi="ar"/>
        </w:rPr>
        <w:t xml:space="preserve">分钟及以上视频，并在相关网络平台实名发布。须有截图、网址等证明材料，并经所在学院教授委员会认定。 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（7）决策咨询成果：决策咨询成果按《东华大学哲学社会科学成果认定办法》执行，须提供相关证明材料。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（8）教材：教材（含翻译出版教材）须公开出版。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（9）教学成果：已获得获奖证书的国家级与省部级教学成果奖。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（10）教改项目：主持或参与省部级及以上教改项目，须提供立项部门提供的结项证明材料与项目申报材料。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="482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5.2本规定中的认定数据均含本级。同一成果获得不同级别积分的，不重复计算，以单项获得最高积分为准。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6.其他要求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15448">
        <w:rPr>
          <w:rFonts w:ascii="宋体" w:hAnsi="宋体"/>
          <w:sz w:val="24"/>
        </w:rPr>
        <w:t>相关成果若后续发生学术不端等事件，将按照相关规定作出（包括并不限于）撤销所授学位或取得的荣誉、奖励等处罚，具体按相关规定执行。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bCs/>
          <w:sz w:val="24"/>
        </w:rPr>
      </w:pPr>
      <w:r w:rsidRPr="00415448">
        <w:rPr>
          <w:rFonts w:ascii="宋体" w:hAnsi="宋体"/>
          <w:b/>
          <w:bCs/>
          <w:sz w:val="24"/>
        </w:rPr>
        <w:t>7.适用对象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415448">
        <w:rPr>
          <w:rFonts w:ascii="宋体" w:hAnsi="宋体"/>
          <w:sz w:val="24"/>
        </w:rPr>
        <w:t>本规定适用于2022年秋季及以后入学的研究生。对2022年秋季之前入学的各年级研究生的学位授予要求，可按本规定或原规定执行。</w:t>
      </w:r>
    </w:p>
    <w:p w:rsidR="00111BDE" w:rsidRPr="00415448" w:rsidRDefault="00111BDE" w:rsidP="00111BDE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sz w:val="24"/>
        </w:rPr>
      </w:pPr>
      <w:bookmarkStart w:id="1" w:name="_Hlk90647335"/>
      <w:r w:rsidRPr="00415448">
        <w:rPr>
          <w:rFonts w:ascii="宋体" w:hAnsi="宋体"/>
          <w:sz w:val="24"/>
        </w:rPr>
        <w:t>本规定解释权归东华大学学位评定委员会。</w:t>
      </w:r>
    </w:p>
    <w:bookmarkEnd w:id="1"/>
    <w:p w:rsidR="00111BDE" w:rsidRPr="00415448" w:rsidRDefault="00111BDE" w:rsidP="00111BDE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</w:pP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lastRenderedPageBreak/>
        <w:t>附件一:</w:t>
      </w: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ind w:firstLineChars="400" w:firstLine="964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t>东华大学马克思主义学院研究生获得成果分类及积分细则</w:t>
      </w:r>
    </w:p>
    <w:tbl>
      <w:tblPr>
        <w:tblW w:w="10317" w:type="dxa"/>
        <w:jc w:val="center"/>
        <w:tblLook w:val="0000" w:firstRow="0" w:lastRow="0" w:firstColumn="0" w:lastColumn="0" w:noHBand="0" w:noVBand="0"/>
      </w:tblPr>
      <w:tblGrid>
        <w:gridCol w:w="1014"/>
        <w:gridCol w:w="8300"/>
        <w:gridCol w:w="1003"/>
      </w:tblGrid>
      <w:tr w:rsidR="00111BDE" w:rsidRPr="00415448" w:rsidTr="00454D5D">
        <w:trPr>
          <w:trHeight w:val="838"/>
          <w:tblHeader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成果类别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指标定义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积分值</w:t>
            </w:r>
          </w:p>
        </w:tc>
      </w:tr>
      <w:tr w:rsidR="00111BDE" w:rsidRPr="00415448" w:rsidTr="00454D5D">
        <w:trPr>
          <w:trHeight w:val="5258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1类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《东华大学科技论文认定办法》中所规定的A类学术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论文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，《东华大学哲学社会科学成果认定办法》中所规定的T类、A类学术论文；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《东华大学科技纵向项目与科技奖认定暂行办法》中所规定的A类纵向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科研项目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，《东华大学哲学社会科学成果认定办法》中所规定的T类、A类纵向课题；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决策咨询成果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学术著作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；且排名第一；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获评全国优秀教材奖的教材，国家级规划教材、国家一流课程配套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教材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的主编；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《东华大学科技纵向项目与科技奖认定暂行办法》所规定的国家级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科技奖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（排名不限）、省部级科技奖一等奖（排名前3）；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学科竞赛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并获全国金奖（排名前5）、全国银奖（排名前3）、上海市金奖（排名前2）；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获得国家级教学成果奖（排名不限）、省部级教学成果一等奖（排名前3）；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主持国家级“新工科”、“新文科”等教改项目；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12</w:t>
            </w:r>
          </w:p>
        </w:tc>
      </w:tr>
      <w:tr w:rsidR="00111BDE" w:rsidRPr="00415448" w:rsidTr="00454D5D">
        <w:trPr>
          <w:trHeight w:val="1890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2类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《东华大学科技论文认定办法》中所规定的B类学术论文，《东华大学哲学社会科学成果认定办法》中所规定的B类学术论文；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《东华大学科技纵向项目与科技奖认定暂行办法》中所规定的B类纵向科研项目，《东华大学哲学社会科学成果认定办法》中所规定的B类纵向课题；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《东华大学哲学社会科学成果认定办法》中所规定的B类决策咨询成果；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《东华大学哲学社会科学成果认定办法》中所规定的T类、A类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学术著作（排名第二）、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B类学术著作（排名第一）；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获评全国优秀教材奖的教材，国家级规划教材、国家一流课程配套教材，导师主编、研究生副主编；获评省部级优秀教材奖的教材，省部级规划教材、上海一流课程配套教材的主编；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《东华大学科技纵向项目与科技奖认定暂行办法》所规定的省部级科技奖一等奖（排名前5）、省部级科技奖二等奖（排名第1）；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参加学科竞赛并获全国银奖（排名前5）、全国铜奖（排名前3）、上海市金奖（排名前3）、上海市银奖（排名第1）；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省部级教学成果一等奖（排名前5）、省部级教学成果奖二等奖（排名第1）；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参与国家级“新工科”、“新文科”等教改项目（排名前2）；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9</w:t>
            </w:r>
          </w:p>
        </w:tc>
      </w:tr>
      <w:tr w:rsidR="00111BDE" w:rsidRPr="00415448" w:rsidTr="00454D5D">
        <w:trPr>
          <w:trHeight w:val="5949"/>
          <w:jc w:val="center"/>
        </w:trPr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3类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《东华大学科技论文认定办法》中所规定的C类学术论文，《东华大学哲学社会科学成果认定办法》的C类学术论文，发表时暂无分区的SCI检索论文；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《东华大学哲学社会科学成果认定办法》的C类决策咨询成果；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《东华大学哲学社会科学成果认定办法》的T类、A类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学术著作（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参与编著完整一个章或3万字以上</w:t>
            </w:r>
            <w:r w:rsidRPr="00415448"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）、</w:t>
            </w: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B类学术著作（排名第二）、C类学术著作（排名第一或导师第一、研究生第二）；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获评全国优秀教材奖的教材，国家级规划教材、国家一流课程配套教材，导师主编，研究生参与编著完整一个章或3万字以上；获评省部级优秀教材奖的教材，省部级规划教材、上海一流课程配套教材，导师主编、研究生副主编；公开出版的教材，主编或导师主编、研究生副主编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《东华大学科技纵向项目与科技奖认定暂行办法》所规定的省部科技奖二等奖（排名前3）、省部级科技奖三等奖（排名第1）；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参加学科竞赛并获全国铜奖（排名前5）、上海市金奖（排名前5）、上海市银奖（排名前3）、上海市铜奖（排名第1）；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省部教学成果奖二等奖（排名前3）、省部级教学成果奖三等奖（排名第1）；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主持省部级“新工科”、“新文科”等教改项目；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6</w:t>
            </w:r>
          </w:p>
        </w:tc>
      </w:tr>
      <w:tr w:rsidR="00111BDE" w:rsidRPr="00415448" w:rsidTr="00454D5D">
        <w:trPr>
          <w:trHeight w:val="4907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lastRenderedPageBreak/>
              <w:t>4类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发表在其他中国科学引文数据库期刊、中文社会科学引文索引扩展版期刊、《中文核心期刊要目总览》（北大核心）收录期刊、CCF目录期刊、东华大学学报（社会科学版）及EI检索期刊上的学术论文，发表在东华大学学报（自然科学版）与（英文版）上未列入C类论文的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《东华大学科技纵向项目与科技奖认定暂行办法》中所规定的C类纵向科研项目，《东华大学哲学社会科学成果认定办法》的C类纵向课题；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《东华大学科技纵向项目与科技奖认定暂行办法》所规定的省部科技奖二等奖（排名前5）、省部级科技奖三等奖（排名前3）；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C类著作，参与编著完整一个章或3万字以上；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公开出版教材，参与编著完整一个章或3万字以上；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《东华大学科技纵向项目与科技奖认定暂行办法》所规定的省部级科技奖三等奖（排名前2）；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参加学科竞赛并获上海市银奖（排名前5）、上海市铜奖（排名前2）；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在权威媒体发表学科相关的文章与视频，并获得10万及以上的阅读量；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省部教学成果奖二等奖（排名前5）、省部级教学成果奖三等奖（排名第2）；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参与省部级“新工科”、“新文科”教改项目（排名前2）；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4</w:t>
            </w:r>
          </w:p>
        </w:tc>
      </w:tr>
      <w:tr w:rsidR="00111BDE" w:rsidRPr="00415448" w:rsidTr="00454D5D">
        <w:trPr>
          <w:trHeight w:val="2389"/>
          <w:jc w:val="center"/>
        </w:trPr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5类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《东华大学科技论文认定办法》中所规定的D类学术论文，《东华大学哲学社会科学成果认定办法》中所规定的D类学术论文；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《东华大学科技纵向项目与科技奖认定暂行办法》所规定的省部科技奖省部级科技奖三等奖（排名前5）；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省部级教学成果奖三等奖（排名前5）；</w:t>
            </w:r>
          </w:p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在权威媒体发表学科相关的文章与视频，并获得5万及以上的阅读量。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 w:rsidRPr="00415448">
              <w:rPr>
                <w:rFonts w:ascii="宋体" w:hAnsi="宋体"/>
                <w:color w:val="000000"/>
                <w:kern w:val="0"/>
                <w:sz w:val="24"/>
              </w:rPr>
              <w:t>2</w:t>
            </w:r>
          </w:p>
        </w:tc>
      </w:tr>
    </w:tbl>
    <w:p w:rsidR="00111BDE" w:rsidRPr="00415448" w:rsidRDefault="00111BDE" w:rsidP="00111BDE">
      <w:pPr>
        <w:adjustRightInd w:val="0"/>
        <w:snapToGrid w:val="0"/>
        <w:spacing w:line="360" w:lineRule="auto"/>
        <w:jc w:val="center"/>
        <w:rPr>
          <w:rFonts w:ascii="宋体" w:hAnsi="宋体"/>
          <w:sz w:val="24"/>
        </w:rPr>
        <w:sectPr w:rsidR="00111BDE" w:rsidRPr="00415448">
          <w:footerReference w:type="even" r:id="rId4"/>
          <w:footerReference w:type="default" r:id="rId5"/>
          <w:footerReference w:type="first" r:id="rId6"/>
          <w:pgSz w:w="11906" w:h="16838"/>
          <w:pgMar w:top="1418" w:right="1797" w:bottom="1418" w:left="1797" w:header="851" w:footer="992" w:gutter="0"/>
          <w:cols w:space="720"/>
          <w:titlePg/>
          <w:docGrid w:type="lines" w:linePitch="312"/>
        </w:sectPr>
      </w:pPr>
    </w:p>
    <w:p w:rsidR="00111BDE" w:rsidRPr="00415448" w:rsidRDefault="00111BDE" w:rsidP="00111BDE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lastRenderedPageBreak/>
        <w:t xml:space="preserve">附件二:   </w:t>
      </w:r>
    </w:p>
    <w:p w:rsidR="00111BDE" w:rsidRPr="00415448" w:rsidRDefault="00111BDE" w:rsidP="00111BDE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color w:val="000000"/>
          <w:kern w:val="0"/>
          <w:sz w:val="24"/>
        </w:rPr>
      </w:pPr>
      <w:r w:rsidRPr="00415448">
        <w:rPr>
          <w:rFonts w:ascii="宋体" w:hAnsi="宋体"/>
          <w:b/>
          <w:bCs/>
          <w:color w:val="000000"/>
          <w:kern w:val="0"/>
          <w:sz w:val="24"/>
        </w:rPr>
        <w:t>东华大学马克思主义学院认定权威媒体清单</w:t>
      </w:r>
    </w:p>
    <w:tbl>
      <w:tblPr>
        <w:tblW w:w="8953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796"/>
        <w:gridCol w:w="2127"/>
        <w:gridCol w:w="6030"/>
      </w:tblGrid>
      <w:tr w:rsidR="00111BDE" w:rsidRPr="00415448" w:rsidTr="00454D5D">
        <w:trPr>
          <w:trHeight w:val="511"/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  <w:t>媒体名称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</w:pPr>
            <w:r w:rsidRPr="00415448">
              <w:rPr>
                <w:rFonts w:ascii="宋体" w:hAnsi="宋体"/>
                <w:b/>
                <w:bCs/>
                <w:color w:val="000000"/>
                <w:sz w:val="24"/>
                <w:lang w:bidi="ar"/>
              </w:rPr>
              <w:t>网址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求是网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http://www.qstheory.cn/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人民网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http://www.people.com.cn/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光明网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https://www.gmw.cn/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中国经济网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http://www.ce.cn/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新华网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http://www.xinhuanet.com/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上观新闻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https://www.shobserver.com/staticsg/home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15448">
              <w:rPr>
                <w:rFonts w:ascii="宋体" w:hAnsi="宋体"/>
                <w:sz w:val="24"/>
              </w:rPr>
              <w:t>文汇网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15448">
              <w:rPr>
                <w:rFonts w:ascii="宋体" w:hAnsi="宋体"/>
                <w:sz w:val="24"/>
              </w:rPr>
              <w:t>http://www.whb.cn/index.html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中国社会科学网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http://www.cssn.cn/</w:t>
            </w:r>
          </w:p>
        </w:tc>
      </w:tr>
      <w:tr w:rsidR="00111BDE" w:rsidRPr="00415448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学习强国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https://www.xuexi.cn/</w:t>
            </w:r>
          </w:p>
        </w:tc>
      </w:tr>
      <w:tr w:rsidR="00111BDE" w:rsidRPr="006E7D14" w:rsidTr="00454D5D">
        <w:trPr>
          <w:trHeight w:val="507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  <w:lang w:bidi="ar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1BDE" w:rsidRPr="00415448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央广网</w:t>
            </w:r>
          </w:p>
        </w:tc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BDE" w:rsidRPr="006E7D14" w:rsidRDefault="00111BDE" w:rsidP="00454D5D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 w:rsidRPr="00415448">
              <w:rPr>
                <w:rFonts w:ascii="宋体" w:hAnsi="宋体"/>
                <w:color w:val="000000"/>
                <w:sz w:val="24"/>
              </w:rPr>
              <w:t>http://www.cnr.cn/</w:t>
            </w:r>
          </w:p>
        </w:tc>
      </w:tr>
    </w:tbl>
    <w:p w:rsidR="00111BDE" w:rsidRPr="006E7D14" w:rsidRDefault="00111BDE" w:rsidP="00111BDE">
      <w:pPr>
        <w:pStyle w:val="a3"/>
        <w:widowControl/>
        <w:shd w:val="clear" w:color="auto" w:fill="FFFFFF"/>
        <w:adjustRightInd w:val="0"/>
        <w:snapToGrid w:val="0"/>
        <w:spacing w:line="360" w:lineRule="auto"/>
        <w:ind w:firstLine="482"/>
        <w:jc w:val="left"/>
        <w:rPr>
          <w:rFonts w:ascii="宋体" w:hAnsi="宋体" w:cs="仿宋"/>
        </w:rPr>
      </w:pPr>
    </w:p>
    <w:p w:rsidR="00EC006E" w:rsidRPr="00111BDE" w:rsidRDefault="00EC006E"/>
    <w:sectPr w:rsidR="00EC006E" w:rsidRPr="00111B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14" w:rsidRDefault="00111BD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E7D14" w:rsidRDefault="00111BD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14" w:rsidRDefault="00111BDE">
    <w:pPr>
      <w:pStyle w:val="a4"/>
      <w:jc w:val="center"/>
      <w:rPr>
        <w:rFonts w:hint="eastAsi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03505" cy="139700"/>
              <wp:effectExtent l="0" t="0" r="10795" b="12700"/>
              <wp:wrapNone/>
              <wp:docPr id="5" name="文本框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1035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D14" w:rsidRDefault="00111BDE">
                          <w:pPr>
                            <w:pStyle w:val="a4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8.15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" filled="f" stroked="f">
              <o:lock v:ext="edit" aspectratio="t" verticies="t" text="t" shapetype="t"/>
              <v:textbox style="mso-fit-shape-to-text:t" inset="0,0,0,0">
                <w:txbxContent>
                  <w:p w:rsidR="006E7D14" w:rsidRDefault="00111BDE">
                    <w:pPr>
                      <w:pStyle w:val="a4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D14" w:rsidRDefault="00111BD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7780" b="12700"/>
              <wp:wrapNone/>
              <wp:docPr id="4" name="文本框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EditPoints="1" noChangeArrowheads="1" noChangeShapeType="1" noTextEdit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D14" w:rsidRDefault="00111BDE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0;margin-top:0;width:4.6pt;height:11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" filled="f" stroked="f">
              <o:lock v:ext="edit" aspectratio="t" verticies="t" text="t" shapetype="t"/>
              <v:textbox style="mso-fit-shape-to-text:t" inset="0,0,0,0">
                <w:txbxContent>
                  <w:p w:rsidR="006E7D14" w:rsidRDefault="00111BDE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BD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1BDE"/>
    <w:rPr>
      <w:sz w:val="24"/>
    </w:rPr>
  </w:style>
  <w:style w:type="paragraph" w:styleId="a4">
    <w:name w:val="footer"/>
    <w:basedOn w:val="a"/>
    <w:link w:val="a5"/>
    <w:rsid w:val="00111B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rsid w:val="00111BDE"/>
    <w:rPr>
      <w:rFonts w:ascii="Calibri" w:eastAsia="宋体" w:hAnsi="Calibri" w:cs="Times New Roman"/>
      <w:sz w:val="18"/>
      <w:szCs w:val="18"/>
    </w:rPr>
  </w:style>
  <w:style w:type="character" w:styleId="a6">
    <w:name w:val="page number"/>
    <w:rsid w:val="00111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700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2023-09-06T08:32:00Z</dcterms:created>
  <dcterms:modified xsi:type="dcterms:W3CDTF">2023-09-06T08:32:00Z</dcterms:modified>
</cp:coreProperties>
</file>